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B3AFB1" w14:textId="77777777" w:rsidR="00587920" w:rsidRPr="00913344" w:rsidRDefault="00F1125D">
      <w:pPr>
        <w:spacing w:before="240" w:after="240"/>
        <w:rPr>
          <w:b/>
          <w:bCs/>
          <w:sz w:val="28"/>
          <w:szCs w:val="28"/>
          <w:lang w:val="pl-PL"/>
        </w:rPr>
      </w:pPr>
      <w:r w:rsidRPr="00913344">
        <w:rPr>
          <w:b/>
          <w:bCs/>
          <w:sz w:val="28"/>
          <w:szCs w:val="28"/>
          <w:lang w:val="pl-PL"/>
        </w:rPr>
        <w:t>Wiedza o genach to za mało: jak informować o genetycznym ryzyku otyłości</w:t>
      </w:r>
    </w:p>
    <w:p w14:paraId="1167C8CF" w14:textId="77777777" w:rsidR="00587920" w:rsidRPr="00913344" w:rsidRDefault="00F1125D">
      <w:pPr>
        <w:rPr>
          <w:b/>
          <w:bCs/>
          <w:sz w:val="20"/>
          <w:szCs w:val="20"/>
          <w:lang w:val="pl-PL"/>
        </w:rPr>
      </w:pPr>
      <w:r w:rsidRPr="00913344">
        <w:rPr>
          <w:b/>
          <w:bCs/>
          <w:sz w:val="20"/>
          <w:szCs w:val="20"/>
          <w:lang w:val="pl-PL"/>
        </w:rPr>
        <w:t xml:space="preserve"> </w:t>
      </w:r>
    </w:p>
    <w:p w14:paraId="558F66D1" w14:textId="77777777" w:rsidR="00587920" w:rsidRPr="00913344" w:rsidRDefault="00F1125D">
      <w:pPr>
        <w:spacing w:before="240" w:after="240"/>
        <w:rPr>
          <w:rFonts w:ascii="Arial" w:eastAsia="Arial" w:hAnsi="Arial" w:cs="Arial"/>
          <w:b/>
          <w:bCs/>
          <w:lang w:val="pl-PL"/>
        </w:rPr>
      </w:pPr>
      <w:r w:rsidRPr="00913344">
        <w:rPr>
          <w:rFonts w:ascii="Arial" w:eastAsia="Arial" w:hAnsi="Arial" w:cs="Arial"/>
          <w:b/>
          <w:bCs/>
          <w:lang w:val="pl-PL"/>
        </w:rPr>
        <w:t>Czy informowanie ludzi o genetycznych skłonnościach do otyłości pomaga im zmienić nawyki i pozbyć się nadmiernych kilogramów? Badanie naukowców m.in. z Uniwersytetu SWPS, opublikowane w czasopiśmie „</w:t>
      </w:r>
      <w:proofErr w:type="spellStart"/>
      <w:r w:rsidRPr="00913344">
        <w:rPr>
          <w:rFonts w:ascii="Arial" w:eastAsia="Arial" w:hAnsi="Arial" w:cs="Arial"/>
          <w:b/>
          <w:bCs/>
          <w:lang w:val="pl-PL"/>
        </w:rPr>
        <w:t>Obesity</w:t>
      </w:r>
      <w:proofErr w:type="spellEnd"/>
      <w:r w:rsidRPr="00913344">
        <w:rPr>
          <w:rFonts w:ascii="Arial" w:eastAsia="Arial" w:hAnsi="Arial" w:cs="Arial"/>
          <w:b/>
          <w:bCs/>
          <w:lang w:val="pl-PL"/>
        </w:rPr>
        <w:t xml:space="preserve"> </w:t>
      </w:r>
      <w:proofErr w:type="spellStart"/>
      <w:r w:rsidRPr="00913344">
        <w:rPr>
          <w:rFonts w:ascii="Arial" w:eastAsia="Arial" w:hAnsi="Arial" w:cs="Arial"/>
          <w:b/>
          <w:bCs/>
          <w:lang w:val="pl-PL"/>
        </w:rPr>
        <w:t>Reviews</w:t>
      </w:r>
      <w:proofErr w:type="spellEnd"/>
      <w:r w:rsidRPr="00913344">
        <w:rPr>
          <w:rFonts w:ascii="Arial" w:eastAsia="Arial" w:hAnsi="Arial" w:cs="Arial"/>
          <w:b/>
          <w:bCs/>
          <w:lang w:val="pl-PL"/>
        </w:rPr>
        <w:t>”, dowodzi, że sama wiedza na temat własny</w:t>
      </w:r>
      <w:r w:rsidRPr="00913344">
        <w:rPr>
          <w:rFonts w:ascii="Arial" w:eastAsia="Arial" w:hAnsi="Arial" w:cs="Arial"/>
          <w:b/>
          <w:bCs/>
          <w:lang w:val="pl-PL"/>
        </w:rPr>
        <w:t xml:space="preserve">ch genów to za mało. Aby skutecznie zmienić nawyki, konieczne jest długofalowe, spersonalizowane wsparcie. </w:t>
      </w:r>
    </w:p>
    <w:p w14:paraId="796853E9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Otyłość stanowi w tej chwili globalny problem. Już w 2022 r. zmagała się z nią na świecie jedna na osiem osób</w:t>
      </w:r>
      <w:r w:rsidRPr="00913344">
        <w:rPr>
          <w:rFonts w:ascii="Calibri" w:eastAsia="Calibri" w:hAnsi="Calibri" w:cs="Calibri"/>
          <w:vertAlign w:val="superscript"/>
          <w:lang w:val="pl-PL"/>
        </w:rPr>
        <w:footnoteReference w:id="1"/>
      </w:r>
      <w:r w:rsidRPr="00913344">
        <w:rPr>
          <w:sz w:val="20"/>
          <w:szCs w:val="20"/>
          <w:lang w:val="pl-PL"/>
        </w:rPr>
        <w:t>. Tylko w 2019 r. oszacowano, że chor</w:t>
      </w:r>
      <w:r w:rsidRPr="00913344">
        <w:rPr>
          <w:sz w:val="20"/>
          <w:szCs w:val="20"/>
          <w:lang w:val="pl-PL"/>
        </w:rPr>
        <w:t>oby wywołane nadmierną masą ciała miały związek z pięcioma milionami zgonów. Znaczenie ma też wpływ gospodarczy: eksperci spodziewają się, że do 2030 r. globalne koszty łączone z otyłością osiągną poziom 3 bilionów dolarów rocznie</w:t>
      </w:r>
      <w:r w:rsidRPr="00913344">
        <w:rPr>
          <w:rFonts w:ascii="Calibri" w:eastAsia="Calibri" w:hAnsi="Calibri" w:cs="Calibri"/>
          <w:vertAlign w:val="superscript"/>
          <w:lang w:val="pl-PL"/>
        </w:rPr>
        <w:footnoteReference w:id="2"/>
      </w:r>
      <w:r w:rsidRPr="00913344">
        <w:rPr>
          <w:sz w:val="20"/>
          <w:szCs w:val="20"/>
          <w:lang w:val="pl-PL"/>
        </w:rPr>
        <w:t>.</w:t>
      </w:r>
    </w:p>
    <w:p w14:paraId="326818BE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 xml:space="preserve">Jak wskazują badania, </w:t>
      </w:r>
      <w:r w:rsidRPr="00913344">
        <w:rPr>
          <w:sz w:val="20"/>
          <w:szCs w:val="20"/>
          <w:lang w:val="pl-PL"/>
        </w:rPr>
        <w:t>epidemia otyłości jest efektem skomplikowanych zależności pomiędzy czynnikami środowiskowymi, psychospołecznymi, fizjologicznymi oraz genetycznymi. I choć geny odgrywają istotną rolę, badania nad wpływem stylu życia jednoznacznie dowodzą, że nie determinuj</w:t>
      </w:r>
      <w:r w:rsidRPr="00913344">
        <w:rPr>
          <w:sz w:val="20"/>
          <w:szCs w:val="20"/>
          <w:lang w:val="pl-PL"/>
        </w:rPr>
        <w:t>ą one nieuchronnie naszej przyszłości. Ogromne znaczenie ma zbilansowana dieta oraz regularna aktywność fizyczna, które skutecznie redukują ryzyko otyłości oraz związanych z nią schorzeń, jak cukrzyca typu 2 oraz choroby układu krążenia. Mimo to wiele prog</w:t>
      </w:r>
      <w:r w:rsidRPr="00913344">
        <w:rPr>
          <w:sz w:val="20"/>
          <w:szCs w:val="20"/>
          <w:lang w:val="pl-PL"/>
        </w:rPr>
        <w:t>ramów profilaktycznych wciąż opiera się na uniwersalnych wytycznych, które nie uwzględniają indywidualnych potrzeb pacjentów.</w:t>
      </w:r>
    </w:p>
    <w:p w14:paraId="5E89F7AE" w14:textId="77777777" w:rsidR="00587920" w:rsidRPr="00913344" w:rsidRDefault="00F1125D">
      <w:pPr>
        <w:spacing w:after="160" w:line="300" w:lineRule="auto"/>
        <w:rPr>
          <w:b/>
          <w:bCs/>
          <w:sz w:val="20"/>
          <w:szCs w:val="20"/>
          <w:lang w:val="pl-PL"/>
        </w:rPr>
      </w:pPr>
      <w:r w:rsidRPr="00913344">
        <w:rPr>
          <w:b/>
          <w:bCs/>
          <w:sz w:val="20"/>
          <w:szCs w:val="20"/>
          <w:lang w:val="pl-PL"/>
        </w:rPr>
        <w:t>Jak komunikować ryzyko otyłości?</w:t>
      </w:r>
    </w:p>
    <w:p w14:paraId="6DEFB310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 xml:space="preserve">Międzynarodowy zespół badawczy, działający w ramach konsorcjum projektu </w:t>
      </w:r>
      <w:r w:rsidRPr="00913344">
        <w:rPr>
          <w:sz w:val="20"/>
          <w:szCs w:val="20"/>
          <w:lang w:val="pl-PL"/>
        </w:rPr>
        <w:lastRenderedPageBreak/>
        <w:t xml:space="preserve">BETTER4U finansowanego z </w:t>
      </w:r>
      <w:r w:rsidRPr="00913344">
        <w:rPr>
          <w:sz w:val="20"/>
          <w:szCs w:val="20"/>
          <w:lang w:val="pl-PL"/>
        </w:rPr>
        <w:t xml:space="preserve">programu Horyzont Europa, postanowił przeanalizować, czy wiedza o genetycznym ryzyku otyłości jest w stanie zmienić zachowania zdrowotne i jak najlepiej ją komunikować. Naukowcy m.in. z Centrum Badań Stosowanych nad Zdrowiem i </w:t>
      </w:r>
      <w:proofErr w:type="spellStart"/>
      <w:r w:rsidRPr="00913344">
        <w:rPr>
          <w:sz w:val="20"/>
          <w:szCs w:val="20"/>
          <w:lang w:val="pl-PL"/>
        </w:rPr>
        <w:t>Zachowaniami</w:t>
      </w:r>
      <w:proofErr w:type="spellEnd"/>
      <w:r w:rsidRPr="00913344">
        <w:rPr>
          <w:sz w:val="20"/>
          <w:szCs w:val="20"/>
          <w:lang w:val="pl-PL"/>
        </w:rPr>
        <w:t xml:space="preserve"> Zdrowotnymi (CAR</w:t>
      </w:r>
      <w:r w:rsidRPr="00913344">
        <w:rPr>
          <w:sz w:val="20"/>
          <w:szCs w:val="20"/>
          <w:lang w:val="pl-PL"/>
        </w:rPr>
        <w:t>E-BEH) Uniwersytetu SWPS w ramach przeglądu systematycznego przeanalizowali ponad 2 tys. publikacji. Do ostatecznej analizy włączyli 23 randomizowane badania kontrolowane (RCT), obejmujące 18 interwencji i łącznie prawie 8 tys. uczestników.</w:t>
      </w:r>
    </w:p>
    <w:p w14:paraId="1FB55963" w14:textId="77777777" w:rsidR="00587920" w:rsidRPr="00913344" w:rsidRDefault="00F1125D">
      <w:pPr>
        <w:spacing w:after="160" w:line="300" w:lineRule="auto"/>
        <w:rPr>
          <w:b/>
          <w:bCs/>
          <w:sz w:val="20"/>
          <w:szCs w:val="20"/>
          <w:lang w:val="pl-PL"/>
        </w:rPr>
      </w:pPr>
      <w:r w:rsidRPr="00913344">
        <w:rPr>
          <w:b/>
          <w:bCs/>
          <w:sz w:val="20"/>
          <w:szCs w:val="20"/>
          <w:lang w:val="pl-PL"/>
        </w:rPr>
        <w:t>Informacja gene</w:t>
      </w:r>
      <w:r w:rsidRPr="00913344">
        <w:rPr>
          <w:b/>
          <w:bCs/>
          <w:sz w:val="20"/>
          <w:szCs w:val="20"/>
          <w:lang w:val="pl-PL"/>
        </w:rPr>
        <w:t>tyczna to nie „magiczny składnik”</w:t>
      </w:r>
    </w:p>
    <w:p w14:paraId="0B32E616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W dobie dynamicznego rozwoju medycyny personalizowanej testy genetyczne stają się coraz popularniejsze. – Wielu z nas liczy na to, że poznanie własnego profilu DNA wskaże prostą drogę do zdrowia i utrzymania wymarzonej syl</w:t>
      </w:r>
      <w:r w:rsidRPr="00913344">
        <w:rPr>
          <w:sz w:val="20"/>
          <w:szCs w:val="20"/>
          <w:lang w:val="pl-PL"/>
        </w:rPr>
        <w:t>wetki. Nie jest to jednak takie proste. Wnioski z badania wykazały, że sama informacja o ryzyku genetycznym nie działa. Przekazywanie pacjentom jedynie informacji o ich podłożu genetycznym, bez dodatkowego wsparcia, zazwyczaj nie prowadzi do trwałych zmian</w:t>
      </w:r>
      <w:r w:rsidRPr="00913344">
        <w:rPr>
          <w:sz w:val="20"/>
          <w:szCs w:val="20"/>
          <w:lang w:val="pl-PL"/>
        </w:rPr>
        <w:t xml:space="preserve"> w wadze, nawykach żywieniowych ani poziomie aktywności fizycznej – mówi pierwsza autorka badania dr Zofia Szczuka, psycholożka z zespołu Centrum Badań Stosowanych nad Zdrowiem i </w:t>
      </w:r>
      <w:proofErr w:type="spellStart"/>
      <w:r w:rsidRPr="00913344">
        <w:rPr>
          <w:sz w:val="20"/>
          <w:szCs w:val="20"/>
          <w:lang w:val="pl-PL"/>
        </w:rPr>
        <w:t>Zachowaniami</w:t>
      </w:r>
      <w:proofErr w:type="spellEnd"/>
      <w:r w:rsidRPr="00913344">
        <w:rPr>
          <w:sz w:val="20"/>
          <w:szCs w:val="20"/>
          <w:lang w:val="pl-PL"/>
        </w:rPr>
        <w:t xml:space="preserve"> Zdrowotnymi (CARE-BEH) w Instytucie Psychologii Uniwersytetu SWP</w:t>
      </w:r>
      <w:r w:rsidRPr="00913344">
        <w:rPr>
          <w:sz w:val="20"/>
          <w:szCs w:val="20"/>
          <w:lang w:val="pl-PL"/>
        </w:rPr>
        <w:t>S.</w:t>
      </w:r>
    </w:p>
    <w:p w14:paraId="3AB19988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Jak piszą w artykule badacze, jest to zgodne z teoriami wskazującymi, że interwencje skupiające się na komunikowaniu ryzyka skutkują albo zmianami krótkoterminowymi, albo brakiem jakichkolwiek zmian w zachowaniu.</w:t>
      </w:r>
    </w:p>
    <w:p w14:paraId="4A5BD172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Co więcej, takie działanie może przynieś</w:t>
      </w:r>
      <w:r w:rsidRPr="00913344">
        <w:rPr>
          <w:sz w:val="20"/>
          <w:szCs w:val="20"/>
          <w:lang w:val="pl-PL"/>
        </w:rPr>
        <w:t>ć skutek odwrotny, a to szczególnie u osób z genetycznie niskim ryzykiem otyłości. Osoby, które dowiadują się, że mają „dobre geny”, mogą wyrobić sobie fałszywe poczucie bezpieczeństwa. W efekcie paradoksalnie zaczynają dokonywać gorszych wyborów żywieniow</w:t>
      </w:r>
      <w:r w:rsidRPr="00913344">
        <w:rPr>
          <w:sz w:val="20"/>
          <w:szCs w:val="20"/>
          <w:lang w:val="pl-PL"/>
        </w:rPr>
        <w:t>ych i częściej sięgają po niezdrowe posiłki czy zaniedbują aktywność fizyczną.</w:t>
      </w:r>
    </w:p>
    <w:p w14:paraId="3F7ED07D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Zupełnie inaczej sytuacja wygląda u osób, u których stwierdzono wysokie ryzyko genetyczne. W tej grupie informacja o zagrożeniu wyzwala większą motywację do działania. Pozytywne</w:t>
      </w:r>
      <w:r w:rsidRPr="00913344">
        <w:rPr>
          <w:sz w:val="20"/>
          <w:szCs w:val="20"/>
          <w:lang w:val="pl-PL"/>
        </w:rPr>
        <w:t xml:space="preserve"> efekty, takie jak realna redukcja masy ciała, obserwowano jednak głównie wtedy, gdy ta informacja była połączona z intensywnym i </w:t>
      </w:r>
      <w:r w:rsidRPr="00913344">
        <w:rPr>
          <w:sz w:val="20"/>
          <w:szCs w:val="20"/>
          <w:lang w:val="pl-PL"/>
        </w:rPr>
        <w:lastRenderedPageBreak/>
        <w:t xml:space="preserve">profesjonalnym programem wsparcia, obejmującym m.in. wyznaczanie celów, monitorowanie postępów, informację zwrotną i wsparcie </w:t>
      </w:r>
      <w:r w:rsidRPr="00913344">
        <w:rPr>
          <w:sz w:val="20"/>
          <w:szCs w:val="20"/>
          <w:lang w:val="pl-PL"/>
        </w:rPr>
        <w:t>społeczne.</w:t>
      </w:r>
    </w:p>
    <w:p w14:paraId="7F112F96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b/>
          <w:bCs/>
          <w:sz w:val="20"/>
          <w:szCs w:val="20"/>
          <w:lang w:val="pl-PL"/>
        </w:rPr>
        <w:t>Długie, złożone programy najskuteczniejsze</w:t>
      </w:r>
    </w:p>
    <w:p w14:paraId="515B8813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– Interwencje muszą być spersonalizowane nie tylko pod kątem genów, ale także konkretnych planów działania i celów pacjenta. Najbardziej obiecujące wyniki dają złożone programy trwające np. 12 miesięcy,</w:t>
      </w:r>
      <w:r w:rsidRPr="00913344">
        <w:rPr>
          <w:sz w:val="20"/>
          <w:szCs w:val="20"/>
          <w:lang w:val="pl-PL"/>
        </w:rPr>
        <w:t xml:space="preserve"> które łączą informowanie o ryzyku genetycznym z technikami zmiany </w:t>
      </w:r>
      <w:proofErr w:type="spellStart"/>
      <w:r w:rsidRPr="00913344">
        <w:rPr>
          <w:sz w:val="20"/>
          <w:szCs w:val="20"/>
          <w:lang w:val="pl-PL"/>
        </w:rPr>
        <w:t>zachowań</w:t>
      </w:r>
      <w:proofErr w:type="spellEnd"/>
      <w:r w:rsidRPr="00913344">
        <w:rPr>
          <w:sz w:val="20"/>
          <w:szCs w:val="20"/>
          <w:lang w:val="pl-PL"/>
        </w:rPr>
        <w:t xml:space="preserve"> – podkreśla dr Szczuka.</w:t>
      </w:r>
    </w:p>
    <w:p w14:paraId="3F802109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Wyniki analiz zespołu pokazują, że sama wiedza o zagrożeniu genetycznym bez odpowiednich narzędzi psychologicznych to za mało, by zmienić styl życia na stał</w:t>
      </w:r>
      <w:r w:rsidRPr="00913344">
        <w:rPr>
          <w:sz w:val="20"/>
          <w:szCs w:val="20"/>
          <w:lang w:val="pl-PL"/>
        </w:rPr>
        <w:t>e. Informacja o ryzyku genetycznym działa motywująco tylko wtedy, gdy pacjent otrzyma konkretny plan działania oraz ciągłe wsparcie w procesie zmiany nawyków. Poza tym skuteczna komunikacja ryzyka genetycznego, oprócz poszerzania wiedzy pacjenta, powinna t</w:t>
      </w:r>
      <w:r w:rsidRPr="00913344">
        <w:rPr>
          <w:sz w:val="20"/>
          <w:szCs w:val="20"/>
          <w:lang w:val="pl-PL"/>
        </w:rPr>
        <w:t>akże działać na jego emocje i poczucie sprawstwa. Dzięki temu pacjentom łatwiej przychodzi automatyzacja zdrowych wyborów w codziennym życiu.</w:t>
      </w:r>
    </w:p>
    <w:p w14:paraId="318031D5" w14:textId="77777777" w:rsidR="00587920" w:rsidRPr="00913344" w:rsidRDefault="00F1125D">
      <w:pPr>
        <w:spacing w:after="160" w:line="300" w:lineRule="auto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Autorami artykułu „</w:t>
      </w:r>
      <w:proofErr w:type="spellStart"/>
      <w:r w:rsidRPr="00913344">
        <w:rPr>
          <w:lang w:val="pl-PL"/>
        </w:rPr>
        <w:fldChar w:fldCharType="begin"/>
      </w:r>
      <w:r w:rsidRPr="00913344">
        <w:rPr>
          <w:lang w:val="pl-PL"/>
        </w:rPr>
        <w:instrText xml:space="preserve"> HYPERLINK "https://onlinelibrary.wiley.com/doi/10.1111/obr.70132" \h </w:instrText>
      </w:r>
      <w:r w:rsidRPr="00913344">
        <w:rPr>
          <w:lang w:val="pl-PL"/>
        </w:rPr>
        <w:fldChar w:fldCharType="separate"/>
      </w:r>
      <w:r w:rsidRPr="00913344">
        <w:rPr>
          <w:color w:val="1155CC"/>
          <w:sz w:val="20"/>
          <w:szCs w:val="20"/>
          <w:u w:val="single"/>
          <w:lang w:val="pl-PL"/>
        </w:rPr>
        <w:t>Are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There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Any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Effectiv</w:t>
      </w:r>
      <w:r w:rsidRPr="00913344">
        <w:rPr>
          <w:color w:val="1155CC"/>
          <w:sz w:val="20"/>
          <w:szCs w:val="20"/>
          <w:u w:val="single"/>
          <w:lang w:val="pl-PL"/>
        </w:rPr>
        <w:t>e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Behavior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Change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Strategies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for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Communicating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Genetic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Risk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in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Obesity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Prevention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and Body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Weight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Reduction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 xml:space="preserve"> </w:t>
      </w:r>
      <w:proofErr w:type="spellStart"/>
      <w:r w:rsidRPr="00913344">
        <w:rPr>
          <w:color w:val="1155CC"/>
          <w:sz w:val="20"/>
          <w:szCs w:val="20"/>
          <w:u w:val="single"/>
          <w:lang w:val="pl-PL"/>
        </w:rPr>
        <w:t>Interventions</w:t>
      </w:r>
      <w:proofErr w:type="spellEnd"/>
      <w:r w:rsidRPr="00913344">
        <w:rPr>
          <w:color w:val="1155CC"/>
          <w:sz w:val="20"/>
          <w:szCs w:val="20"/>
          <w:u w:val="single"/>
          <w:lang w:val="pl-PL"/>
        </w:rPr>
        <w:t>?</w:t>
      </w:r>
      <w:r w:rsidRPr="00913344">
        <w:rPr>
          <w:color w:val="1155CC"/>
          <w:sz w:val="20"/>
          <w:szCs w:val="20"/>
          <w:u w:val="single"/>
          <w:lang w:val="pl-PL"/>
        </w:rPr>
        <w:fldChar w:fldCharType="end"/>
      </w:r>
      <w:r w:rsidRPr="00913344">
        <w:rPr>
          <w:sz w:val="20"/>
          <w:szCs w:val="20"/>
          <w:lang w:val="pl-PL"/>
        </w:rPr>
        <w:t xml:space="preserve">” są: dr Zofia Szczuka (USWPS), dr Paulina Krzywicka (USWPS), Anna </w:t>
      </w:r>
      <w:proofErr w:type="spellStart"/>
      <w:r w:rsidRPr="00913344">
        <w:rPr>
          <w:sz w:val="20"/>
          <w:szCs w:val="20"/>
          <w:lang w:val="pl-PL"/>
        </w:rPr>
        <w:t>Kornafel</w:t>
      </w:r>
      <w:proofErr w:type="spellEnd"/>
      <w:r w:rsidRPr="00913344">
        <w:rPr>
          <w:sz w:val="20"/>
          <w:szCs w:val="20"/>
          <w:lang w:val="pl-PL"/>
        </w:rPr>
        <w:t xml:space="preserve"> (USWPS), Jowita </w:t>
      </w:r>
      <w:proofErr w:type="spellStart"/>
      <w:r w:rsidRPr="00913344">
        <w:rPr>
          <w:sz w:val="20"/>
          <w:szCs w:val="20"/>
          <w:lang w:val="pl-PL"/>
        </w:rPr>
        <w:t>Misiakowska</w:t>
      </w:r>
      <w:proofErr w:type="spellEnd"/>
      <w:r w:rsidRPr="00913344">
        <w:rPr>
          <w:sz w:val="20"/>
          <w:szCs w:val="20"/>
          <w:lang w:val="pl-PL"/>
        </w:rPr>
        <w:t xml:space="preserve"> (USWPS), Hanna </w:t>
      </w:r>
      <w:proofErr w:type="spellStart"/>
      <w:r w:rsidRPr="00913344">
        <w:rPr>
          <w:sz w:val="20"/>
          <w:szCs w:val="20"/>
          <w:lang w:val="pl-PL"/>
        </w:rPr>
        <w:t>Zaleśkiewicz</w:t>
      </w:r>
      <w:proofErr w:type="spellEnd"/>
      <w:r w:rsidRPr="00913344">
        <w:rPr>
          <w:sz w:val="20"/>
          <w:szCs w:val="20"/>
          <w:lang w:val="pl-PL"/>
        </w:rPr>
        <w:t xml:space="preserve"> (U</w:t>
      </w:r>
      <w:r w:rsidRPr="00913344">
        <w:rPr>
          <w:sz w:val="20"/>
          <w:szCs w:val="20"/>
          <w:lang w:val="pl-PL"/>
        </w:rPr>
        <w:t xml:space="preserve">SWPS), dr Maria </w:t>
      </w:r>
      <w:proofErr w:type="spellStart"/>
      <w:r w:rsidRPr="00913344">
        <w:rPr>
          <w:sz w:val="20"/>
          <w:szCs w:val="20"/>
          <w:lang w:val="pl-PL"/>
        </w:rPr>
        <w:t>Kafyra</w:t>
      </w:r>
      <w:proofErr w:type="spellEnd"/>
      <w:r w:rsidRPr="00913344">
        <w:rPr>
          <w:sz w:val="20"/>
          <w:szCs w:val="20"/>
          <w:lang w:val="pl-PL"/>
        </w:rPr>
        <w:t xml:space="preserve"> (</w:t>
      </w:r>
      <w:proofErr w:type="spellStart"/>
      <w:r w:rsidRPr="00913344">
        <w:rPr>
          <w:sz w:val="20"/>
          <w:szCs w:val="20"/>
          <w:lang w:val="pl-PL"/>
        </w:rPr>
        <w:t>Harokopio</w:t>
      </w:r>
      <w:proofErr w:type="spellEnd"/>
      <w:r w:rsidRPr="00913344">
        <w:rPr>
          <w:sz w:val="20"/>
          <w:szCs w:val="20"/>
          <w:lang w:val="pl-PL"/>
        </w:rPr>
        <w:t xml:space="preserve"> University), prof. </w:t>
      </w:r>
      <w:proofErr w:type="spellStart"/>
      <w:r w:rsidRPr="00913344">
        <w:rPr>
          <w:sz w:val="20"/>
          <w:szCs w:val="20"/>
          <w:lang w:val="pl-PL"/>
        </w:rPr>
        <w:t>Ioanna</w:t>
      </w:r>
      <w:proofErr w:type="spellEnd"/>
      <w:r w:rsidRPr="00913344">
        <w:rPr>
          <w:sz w:val="20"/>
          <w:szCs w:val="20"/>
          <w:lang w:val="pl-PL"/>
        </w:rPr>
        <w:t xml:space="preserve"> </w:t>
      </w:r>
      <w:proofErr w:type="spellStart"/>
      <w:r w:rsidRPr="00913344">
        <w:rPr>
          <w:sz w:val="20"/>
          <w:szCs w:val="20"/>
          <w:lang w:val="pl-PL"/>
        </w:rPr>
        <w:t>Panagiota</w:t>
      </w:r>
      <w:proofErr w:type="spellEnd"/>
      <w:r w:rsidRPr="00913344">
        <w:rPr>
          <w:sz w:val="20"/>
          <w:szCs w:val="20"/>
          <w:lang w:val="pl-PL"/>
        </w:rPr>
        <w:t xml:space="preserve"> </w:t>
      </w:r>
      <w:proofErr w:type="spellStart"/>
      <w:r w:rsidRPr="00913344">
        <w:rPr>
          <w:sz w:val="20"/>
          <w:szCs w:val="20"/>
          <w:lang w:val="pl-PL"/>
        </w:rPr>
        <w:t>Kalafa</w:t>
      </w:r>
      <w:proofErr w:type="spellEnd"/>
      <w:r w:rsidRPr="00913344">
        <w:rPr>
          <w:sz w:val="20"/>
          <w:szCs w:val="20"/>
          <w:lang w:val="pl-PL"/>
        </w:rPr>
        <w:t xml:space="preserve"> (</w:t>
      </w:r>
      <w:proofErr w:type="spellStart"/>
      <w:r w:rsidRPr="00913344">
        <w:rPr>
          <w:sz w:val="20"/>
          <w:szCs w:val="20"/>
          <w:lang w:val="pl-PL"/>
        </w:rPr>
        <w:t>Harokopio</w:t>
      </w:r>
      <w:proofErr w:type="spellEnd"/>
      <w:r w:rsidRPr="00913344">
        <w:rPr>
          <w:sz w:val="20"/>
          <w:szCs w:val="20"/>
          <w:lang w:val="pl-PL"/>
        </w:rPr>
        <w:t xml:space="preserve"> University, University of </w:t>
      </w:r>
      <w:proofErr w:type="spellStart"/>
      <w:r w:rsidRPr="00913344">
        <w:rPr>
          <w:sz w:val="20"/>
          <w:szCs w:val="20"/>
          <w:lang w:val="pl-PL"/>
        </w:rPr>
        <w:t>Thessaly</w:t>
      </w:r>
      <w:proofErr w:type="spellEnd"/>
      <w:r w:rsidRPr="00913344">
        <w:rPr>
          <w:sz w:val="20"/>
          <w:szCs w:val="20"/>
          <w:lang w:val="pl-PL"/>
        </w:rPr>
        <w:t xml:space="preserve">), prof. George </w:t>
      </w:r>
      <w:proofErr w:type="spellStart"/>
      <w:r w:rsidRPr="00913344">
        <w:rPr>
          <w:sz w:val="20"/>
          <w:szCs w:val="20"/>
          <w:lang w:val="pl-PL"/>
        </w:rPr>
        <w:t>Dedoussis</w:t>
      </w:r>
      <w:proofErr w:type="spellEnd"/>
      <w:r w:rsidRPr="00913344">
        <w:rPr>
          <w:sz w:val="20"/>
          <w:szCs w:val="20"/>
          <w:lang w:val="pl-PL"/>
        </w:rPr>
        <w:t xml:space="preserve"> (</w:t>
      </w:r>
      <w:proofErr w:type="spellStart"/>
      <w:r w:rsidRPr="00913344">
        <w:rPr>
          <w:sz w:val="20"/>
          <w:szCs w:val="20"/>
          <w:lang w:val="pl-PL"/>
        </w:rPr>
        <w:t>Harokopio</w:t>
      </w:r>
      <w:proofErr w:type="spellEnd"/>
      <w:r w:rsidRPr="00913344">
        <w:rPr>
          <w:sz w:val="20"/>
          <w:szCs w:val="20"/>
          <w:lang w:val="pl-PL"/>
        </w:rPr>
        <w:t xml:space="preserve"> University) i prof. Aleksandra Łuszczyńska (USWPS).</w:t>
      </w:r>
    </w:p>
    <w:p w14:paraId="1E0490DF" w14:textId="77777777" w:rsidR="00587920" w:rsidRPr="00913344" w:rsidRDefault="00F1125D">
      <w:pPr>
        <w:spacing w:after="160" w:line="300" w:lineRule="auto"/>
        <w:rPr>
          <w:rFonts w:ascii="Arial" w:eastAsia="Arial" w:hAnsi="Arial" w:cs="Arial"/>
          <w:b/>
          <w:bCs/>
          <w:lang w:val="pl-PL"/>
        </w:rPr>
      </w:pPr>
      <w:r w:rsidRPr="00913344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</w:t>
      </w:r>
      <w:r w:rsidRPr="00913344">
        <w:rPr>
          <w:rFonts w:ascii="Arial" w:eastAsia="Arial" w:hAnsi="Arial" w:cs="Arial"/>
          <w:b/>
          <w:bCs/>
          <w:lang w:val="pl-PL"/>
        </w:rPr>
        <w:t>****</w:t>
      </w:r>
    </w:p>
    <w:p w14:paraId="30368258" w14:textId="77777777" w:rsidR="00587920" w:rsidRPr="00913344" w:rsidRDefault="00587920">
      <w:pPr>
        <w:widowControl/>
        <w:spacing w:line="276" w:lineRule="auto"/>
        <w:jc w:val="both"/>
        <w:rPr>
          <w:b/>
          <w:bCs/>
          <w:sz w:val="20"/>
          <w:szCs w:val="20"/>
          <w:lang w:val="pl-PL"/>
        </w:rPr>
      </w:pPr>
    </w:p>
    <w:p w14:paraId="363340D0" w14:textId="77777777" w:rsidR="00587920" w:rsidRPr="00913344" w:rsidRDefault="00F1125D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913344">
        <w:rPr>
          <w:b/>
          <w:bCs/>
          <w:sz w:val="20"/>
          <w:szCs w:val="20"/>
          <w:lang w:val="pl-PL"/>
        </w:rPr>
        <w:t>Uniwersytet SWPS</w:t>
      </w:r>
      <w:r w:rsidRPr="00913344">
        <w:rPr>
          <w:sz w:val="20"/>
          <w:szCs w:val="20"/>
          <w:lang w:val="pl-PL"/>
        </w:rPr>
        <w:t xml:space="preserve"> to nowoczesna uczelni</w:t>
      </w:r>
      <w:r w:rsidRPr="00913344">
        <w:rPr>
          <w:sz w:val="20"/>
          <w:szCs w:val="20"/>
          <w:lang w:val="pl-PL"/>
        </w:rPr>
        <w:t>a oparta na trwałych wartościach. Silną pozycję zawdzięcza połączeniu wysokiej jakości dydaktyki z badaniami naukowymi prowadzonymi na najwyższym poziomie. Uczelnia kształci blisko 18 tys. studentek i studentów – w tym ponad tysiąc z zagranicy oraz ponad 4</w:t>
      </w:r>
      <w:r w:rsidRPr="00913344">
        <w:rPr>
          <w:sz w:val="20"/>
          <w:szCs w:val="20"/>
          <w:lang w:val="pl-PL"/>
        </w:rPr>
        <w:t xml:space="preserve">,5 tys. słuchaczek i słuchaczy studiów podyplomowych na ponad 50 kierunkach studiów stacjonarnych i ponad 40 niestacjonarnych i ok. 240 kierunkach studiów podyplomowych. Uniwersytet oferuje </w:t>
      </w:r>
      <w:r w:rsidRPr="00913344">
        <w:rPr>
          <w:sz w:val="20"/>
          <w:szCs w:val="20"/>
          <w:lang w:val="pl-PL"/>
        </w:rPr>
        <w:lastRenderedPageBreak/>
        <w:t>programy studiów z psychologii, prawa, zarządzania, dziennikarstwa</w:t>
      </w:r>
      <w:r w:rsidRPr="00913344">
        <w:rPr>
          <w:sz w:val="20"/>
          <w:szCs w:val="20"/>
          <w:lang w:val="pl-PL"/>
        </w:rPr>
        <w:t>, filologii, kulturoznawstwa, nowych technologii oraz grafiki i wzornictwa, a także edukację w postaci szkoleń i krótkich kursów akademickich. Uczelnia dba o wysoką wartość akademicką naszych programów oraz ich dostosowanie do wymagań zmieniającego się ryn</w:t>
      </w:r>
      <w:r w:rsidRPr="00913344">
        <w:rPr>
          <w:sz w:val="20"/>
          <w:szCs w:val="20"/>
          <w:lang w:val="pl-PL"/>
        </w:rPr>
        <w:t>ku pracy. Kampusy Uniwersytetu SWPS znajdują się w sześciu miastach: Warszawie (siedziba), Wrocławiu, Sopocie, Poznaniu, Katowicach i w Krakowie.</w:t>
      </w:r>
    </w:p>
    <w:p w14:paraId="674A330B" w14:textId="77777777" w:rsidR="00587920" w:rsidRPr="00913344" w:rsidRDefault="005879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249511C7" w14:textId="77777777" w:rsidR="00587920" w:rsidRPr="00913344" w:rsidRDefault="00F1125D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>Uczelnia posiada uprawnienia do nadawania stopnia doktora oraz doktora habilitowanego w siedmiu dyscyplinach:</w:t>
      </w:r>
      <w:r w:rsidRPr="00913344">
        <w:rPr>
          <w:sz w:val="20"/>
          <w:szCs w:val="20"/>
          <w:lang w:val="pl-PL"/>
        </w:rPr>
        <w:t xml:space="preserve"> psychologia, nauki o kulturze i religii, literaturoznawstwo, nauki prawne, nauki socjologiczne, nauki o polityce i administracji, sztuki plastyczne i konserwacja dzieł sztuki. Na Uniwersytecie SWPS funkcjonuje pięć instytutów naukowych, które zajmują się </w:t>
      </w:r>
      <w:r w:rsidRPr="00913344">
        <w:rPr>
          <w:sz w:val="20"/>
          <w:szCs w:val="20"/>
          <w:lang w:val="pl-PL"/>
        </w:rPr>
        <w:t>organizacją i koordynacją działalności naukowej pracowników badawczych i badawczo-dydaktycznych uczelni w poszczególnych dyscyplinach: Instytut Psychologii, Instytut Nauk Humanistycznych, Instytut Nauk Społecznych, Instytut Prawa oraz Instytut Projektowani</w:t>
      </w:r>
      <w:r w:rsidRPr="00913344">
        <w:rPr>
          <w:sz w:val="20"/>
          <w:szCs w:val="20"/>
          <w:lang w:val="pl-PL"/>
        </w:rPr>
        <w:t>a. W uczelni działa blisko 30 centrów badawczych oraz ponad 175 kół naukowych.</w:t>
      </w:r>
    </w:p>
    <w:p w14:paraId="05D7BE89" w14:textId="77777777" w:rsidR="00587920" w:rsidRPr="00913344" w:rsidRDefault="005879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p w14:paraId="40B54CEF" w14:textId="77777777" w:rsidR="00587920" w:rsidRPr="00913344" w:rsidRDefault="00F1125D">
      <w:pPr>
        <w:widowControl/>
        <w:spacing w:line="276" w:lineRule="auto"/>
        <w:jc w:val="both"/>
        <w:rPr>
          <w:sz w:val="20"/>
          <w:szCs w:val="20"/>
          <w:lang w:val="pl-PL"/>
        </w:rPr>
      </w:pPr>
      <w:r w:rsidRPr="00913344">
        <w:rPr>
          <w:sz w:val="20"/>
          <w:szCs w:val="20"/>
          <w:lang w:val="pl-PL"/>
        </w:rPr>
        <w:t xml:space="preserve">Uniwersytet SWPS należy do sojuszu </w:t>
      </w:r>
      <w:proofErr w:type="spellStart"/>
      <w:r w:rsidRPr="00913344">
        <w:rPr>
          <w:sz w:val="20"/>
          <w:szCs w:val="20"/>
          <w:lang w:val="pl-PL"/>
        </w:rPr>
        <w:t>European</w:t>
      </w:r>
      <w:proofErr w:type="spellEnd"/>
      <w:r w:rsidRPr="00913344">
        <w:rPr>
          <w:sz w:val="20"/>
          <w:szCs w:val="20"/>
          <w:lang w:val="pl-PL"/>
        </w:rPr>
        <w:t xml:space="preserve"> Reform University Alliance (ERUA). Jest to sojusz uczelni zawarty w ramach Inicjatywy Uniwersytetów Europejskich, powołanej i finansowanej przez Komisję Europejską.</w:t>
      </w:r>
    </w:p>
    <w:p w14:paraId="06554B63" w14:textId="77777777" w:rsidR="00587920" w:rsidRPr="00913344" w:rsidRDefault="00587920">
      <w:pPr>
        <w:widowControl/>
        <w:spacing w:line="276" w:lineRule="auto"/>
        <w:jc w:val="both"/>
        <w:rPr>
          <w:sz w:val="20"/>
          <w:szCs w:val="20"/>
          <w:lang w:val="pl-PL"/>
        </w:rPr>
      </w:pPr>
    </w:p>
    <w:sectPr w:rsidR="00587920" w:rsidRPr="00913344">
      <w:headerReference w:type="even" r:id="rId7"/>
      <w:headerReference w:type="default" r:id="rId8"/>
      <w:footerReference w:type="default" r:id="rId9"/>
      <w:headerReference w:type="first" r:id="rId10"/>
      <w:pgSz w:w="11910" w:h="16840"/>
      <w:pgMar w:top="0" w:right="1701" w:bottom="2835" w:left="1701" w:header="3685" w:footer="1701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CA84E7" w14:textId="77777777" w:rsidR="00F1125D" w:rsidRDefault="00F1125D">
      <w:r>
        <w:separator/>
      </w:r>
    </w:p>
  </w:endnote>
  <w:endnote w:type="continuationSeparator" w:id="0">
    <w:p w14:paraId="092B44C3" w14:textId="77777777" w:rsidR="00F1125D" w:rsidRDefault="00F112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A4E0EB8E-674E-40D1-9582-9435962AD001}"/>
    <w:embedBold r:id="rId2" w:fontKey="{31835124-EE9D-4DC7-B90C-F9637917214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lura">
    <w:charset w:val="00"/>
    <w:family w:val="auto"/>
    <w:pitch w:val="default"/>
    <w:embedRegular r:id="rId3" w:fontKey="{E0806408-02B8-4668-AECF-B7ACAB87CC8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C7951CE2-7A25-43D6-B66C-8E9A92B3E7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BBD65467-E519-4D29-8B1E-D03D6734F6E3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2EFFDE5-BCC7-4BFA-8176-AE4DB70E85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8FB69B" w14:textId="77777777" w:rsidR="00587920" w:rsidRDefault="00F1125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0" distR="0" simplePos="0" relativeHeight="251656704" behindDoc="1" locked="0" layoutInCell="1" hidden="0" allowOverlap="1" wp14:anchorId="35EB10D7" wp14:editId="15F1D80F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l="0" t="0" r="0" b="0"/>
              <wp:wrapNone/>
              <wp:docPr id="1" name="Prostokąt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589020" y="3594960"/>
                        <a:ext cx="3513960" cy="370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0D11ED" w14:textId="77777777" w:rsidR="00587920" w:rsidRDefault="00F1125D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Uniwersytet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SWPS</w:t>
                          </w:r>
                        </w:p>
                        <w:p w14:paraId="657592F4" w14:textId="77777777" w:rsidR="00587920" w:rsidRDefault="00F1125D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color w:val="000000"/>
                              <w:sz w:val="14"/>
                            </w:rPr>
                            <w:t xml:space="preserve">ul. </w:t>
                          </w:r>
                          <w:proofErr w:type="spellStart"/>
                          <w:r>
                            <w:rPr>
                              <w:color w:val="000000"/>
                              <w:sz w:val="14"/>
                            </w:rPr>
                            <w:t>Chodakowska</w:t>
                          </w:r>
                          <w:proofErr w:type="spellEnd"/>
                          <w:r>
                            <w:rPr>
                              <w:color w:val="000000"/>
                              <w:sz w:val="14"/>
                            </w:rPr>
                            <w:t xml:space="preserve"> 19/31, 03-815 Warszawa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-9522</wp:posOffset>
              </wp:positionH>
              <wp:positionV relativeFrom="paragraph">
                <wp:posOffset>9566275</wp:posOffset>
              </wp:positionV>
              <wp:extent cx="3580635" cy="43675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80635" cy="43675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0" distR="0" simplePos="0" relativeHeight="251657728" behindDoc="1" locked="0" layoutInCell="1" hidden="0" allowOverlap="1" wp14:anchorId="79FA63A7" wp14:editId="15CE0451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l="0" t="0" r="0" b="0"/>
              <wp:wrapNone/>
              <wp:docPr id="2" name="Prostokąt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95100" y="3720240"/>
                        <a:ext cx="901800" cy="1195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30159D" w14:textId="77777777" w:rsidR="00587920" w:rsidRDefault="00F1125D">
                          <w:pPr>
                            <w:spacing w:before="20"/>
                            <w:ind w:left="20" w:firstLine="140"/>
                            <w:jc w:val="right"/>
                            <w:textDirection w:val="btLr"/>
                          </w:pPr>
                          <w:r>
                            <w:rPr>
                              <w:b/>
                              <w:color w:val="000000"/>
                              <w:sz w:val="14"/>
                            </w:rPr>
                            <w:t>www.swps.pl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-911220</wp:posOffset>
              </wp:positionH>
              <wp:positionV relativeFrom="paragraph">
                <wp:posOffset>9820275</wp:posOffset>
              </wp:positionV>
              <wp:extent cx="968475" cy="18619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968475" cy="1861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378C8E" w14:textId="77777777" w:rsidR="00F1125D" w:rsidRDefault="00F1125D">
      <w:r>
        <w:separator/>
      </w:r>
    </w:p>
  </w:footnote>
  <w:footnote w:type="continuationSeparator" w:id="0">
    <w:p w14:paraId="6948316E" w14:textId="77777777" w:rsidR="00F1125D" w:rsidRDefault="00F1125D">
      <w:r>
        <w:continuationSeparator/>
      </w:r>
    </w:p>
  </w:footnote>
  <w:footnote w:id="1">
    <w:p w14:paraId="5909F66E" w14:textId="77777777" w:rsidR="00587920" w:rsidRDefault="00F1125D">
      <w:pPr>
        <w:rPr>
          <w:sz w:val="20"/>
          <w:szCs w:val="20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World Health Organization, “Obesity and Overweight,” (June 17, 2025), https:// www. who. int/ news- room/ fact- sheets/ detail/ obesity-and-overweight</w:t>
      </w:r>
    </w:p>
  </w:footnote>
  <w:footnote w:id="2">
    <w:p w14:paraId="6E3FC448" w14:textId="77777777" w:rsidR="00587920" w:rsidRDefault="00F1125D">
      <w:pPr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A. </w:t>
      </w:r>
      <w:proofErr w:type="spellStart"/>
      <w:r>
        <w:rPr>
          <w:sz w:val="16"/>
          <w:szCs w:val="16"/>
        </w:rPr>
        <w:t>Okunogbe</w:t>
      </w:r>
      <w:proofErr w:type="spellEnd"/>
      <w:r>
        <w:rPr>
          <w:sz w:val="16"/>
          <w:szCs w:val="16"/>
        </w:rPr>
        <w:t>, R. Nugent, G. Sp</w:t>
      </w:r>
      <w:r>
        <w:rPr>
          <w:sz w:val="16"/>
          <w:szCs w:val="16"/>
        </w:rPr>
        <w:t xml:space="preserve">encer, J. </w:t>
      </w:r>
      <w:proofErr w:type="spellStart"/>
      <w:r>
        <w:rPr>
          <w:sz w:val="16"/>
          <w:szCs w:val="16"/>
        </w:rPr>
        <w:t>Powis</w:t>
      </w:r>
      <w:proofErr w:type="spellEnd"/>
      <w:r>
        <w:rPr>
          <w:sz w:val="16"/>
          <w:szCs w:val="16"/>
        </w:rPr>
        <w:t xml:space="preserve">, J. Ralston, and J. Wilding, “Economic Impacts of Overweight and Obesity: Current and Future Estimates for 161 Countries,” BMJ Global Health 7, no. 9 (2022): e009773, https:// </w:t>
      </w:r>
      <w:proofErr w:type="spellStart"/>
      <w:r>
        <w:rPr>
          <w:sz w:val="16"/>
          <w:szCs w:val="16"/>
        </w:rPr>
        <w:t>doi</w:t>
      </w:r>
      <w:proofErr w:type="spellEnd"/>
      <w:r>
        <w:rPr>
          <w:sz w:val="16"/>
          <w:szCs w:val="16"/>
        </w:rPr>
        <w:t xml:space="preserve">. org/ 10. 1136/ </w:t>
      </w:r>
      <w:proofErr w:type="spellStart"/>
      <w:r>
        <w:rPr>
          <w:sz w:val="16"/>
          <w:szCs w:val="16"/>
        </w:rPr>
        <w:t>bmjgh</w:t>
      </w:r>
      <w:proofErr w:type="spellEnd"/>
      <w:r>
        <w:rPr>
          <w:sz w:val="16"/>
          <w:szCs w:val="16"/>
        </w:rPr>
        <w:t xml:space="preserve"> - 2022- 009773.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025A8A" w14:textId="77777777" w:rsidR="00587920" w:rsidRDefault="00F1125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EDAA76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625.15pt;z-index:-251656704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6C77D4" w14:textId="77777777" w:rsidR="00587920" w:rsidRDefault="00F1125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anchor distT="0" distB="0" distL="0" distR="0" simplePos="0" relativeHeight="251655680" behindDoc="1" locked="0" layoutInCell="1" hidden="0" allowOverlap="1" wp14:anchorId="4553C95E" wp14:editId="3A60FD8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760" cy="10692000"/>
          <wp:effectExtent l="0" t="0" r="0" b="0"/>
          <wp:wrapNone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6760" cy="106920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CF05A5" w14:textId="77777777" w:rsidR="00587920" w:rsidRDefault="00F1125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pict w14:anchorId="1B885AA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441.9pt;height:625.15pt;z-index:-251657728;mso-position-horizontal:center;mso-position-horizontal-relative:margin;mso-position-vertical:center;mso-position-vertical-relative:margin">
          <v:imagedata r:id="rId1" o:title="image2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7920"/>
    <w:rsid w:val="00587920"/>
    <w:rsid w:val="00913344"/>
    <w:rsid w:val="00F11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58CEA35"/>
  <w15:docId w15:val="{48E9DD02-58C9-4F46-BC86-DA77AC315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Montserrat" w:eastAsia="Montserrat" w:hAnsi="Montserrat" w:cs="Montserrat"/>
        <w:sz w:val="22"/>
        <w:szCs w:val="22"/>
        <w:lang w:val="en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before="25"/>
      <w:ind w:left="20"/>
    </w:pPr>
    <w:rPr>
      <w:rFonts w:ascii="Allura" w:eastAsia="Allura" w:hAnsi="Allura" w:cs="Allura"/>
      <w:sz w:val="59"/>
      <w:szCs w:val="59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66DX5q51T2FFNx+3GiZW9dmFNw==">CgMxLjA4AGokChRzdWdnZXN0LjRrMGp4dG5zNXR5bxIMQmVhdGEgU3phdWVyaiQKFHN1Z2dlc3QuMmZvMTk5OGx3MWFuEgxCZWF0YSBTemF1ZXJqJAoUc3VnZ2VzdC5qcm44bGgyanJ4d2MSDEJlYXRhIFN6YXVlcmokChRzdWdnZXN0Ljd0bXNhM2Znc2xwZBIMQmVhdGEgU3phdWVyciExdVZFbENkc1h0Rl9uN0dzZWFJc0JfZzVKZWhRUnJlQU4=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1039</Words>
  <Characters>6236</Characters>
  <Application>Microsoft Office Word</Application>
  <DocSecurity>0</DocSecurity>
  <Lines>51</Lines>
  <Paragraphs>14</Paragraphs>
  <ScaleCrop>false</ScaleCrop>
  <Company>Uniwersytet SWPS</Company>
  <LinksUpToDate>false</LinksUpToDate>
  <CharactersWithSpaces>7261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Marta Danowska-Kisiel</cp:lastModifiedBy>
  <cp:revision>3</cp:revision>
  <dcterms:created xsi:type="dcterms:W3CDTF">2026-07-14T06:16:00Z</dcterms:created>
  <dcterms:modified xsi:type="dcterms:W3CDTF">2026-07-14T06:16:00Z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lpwstr>2021-08-23T00:00:00Z</vt:lpwstr>
  </property>
  <property fmtid="{D5CDD505-2E9C-101B-9397-08002B2CF9AE}" pid="3" name="Creator">
    <vt:lpwstr>Adobe Illustrator 25.0 (Macintosh)</vt:lpwstr>
  </property>
  <property fmtid="{D5CDD505-2E9C-101B-9397-08002B2CF9AE}" pid="4" name="Created">
    <vt:lpwstr>2021-08-23T00:00:00Z</vt:lpwstr>
  </property>
</Properties>
</file>